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PROFORMA INVOICE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Proforma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Issue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Valid until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Seller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Buyer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TRN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TRN (if registered)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Trade licence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Currency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AED (UAE dirham)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VAT rate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5%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Description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 price (AED)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Amount (AED)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Subtotal (AED)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VAT 5% (AED)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(AED)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Terms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Payment terms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Delivery terms (Incoterms® 2020 rule if export)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Bank: name, IBAN, SWIFT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80" w:after="0"/>
      </w:pPr>
      <w:r>
        <w:rPr>
          <w:color w:val="4D475C"/>
          <w:sz w:val="15"/>
          <w:szCs w:val="15"/>
        </w:rPr>
        <w:t xml:space="preserve">This proforma invoice is not a tax invoice. A tax invoice will be issued at the time of supply.</w:t>
      </w:r>
    </w:p>
    <w:p>
      <w:pPr>
        <w:pStyle w:val="FPSection"/>
      </w:pPr>
      <w:r>
        <w:t xml:space="preserve">Acceptance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Seller</w:t>
            </w:r>
          </w:p>
          <w:p>
            <w:r>
              <w:rPr>
                <w:color w:val="4D475C"/>
                <w:sz w:val="15"/>
                <w:szCs w:val="15"/>
              </w:rPr>
              <w:t xml:space="preserve">Stamp and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Buyer</w:t>
            </w:r>
          </w:p>
          <w:p>
            <w:r>
              <w:rPr>
                <w:color w:val="4D475C"/>
                <w:sz w:val="15"/>
                <w:szCs w:val="15"/>
              </w:rPr>
              <w:t xml:space="preserve">"Accepted", date, stamp and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 UAE (Word)</dc:title>
  <dc:subject>Proforma invoice template for the UAE: seller TRN and trade licence, buyer TRN, amounts in dirhams, VAT at 5%, total, payment and delivery terms, bank details and acceptance.</dc:subject>
  <dc:creator>InvoiceProforma</dc:creator>
  <cp:keywords>proforma invoice uae, proforma invoice template uae, proforma invoice dubai, proforma invoice vs tax invoice, proforma invoice word, proforma invoice excel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